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89345" w14:textId="209097A3" w:rsidR="00170792" w:rsidRPr="003F189C" w:rsidRDefault="0046215E" w:rsidP="00170792">
      <w:pPr>
        <w:pStyle w:val="isselectedend"/>
        <w:rPr>
          <w:sz w:val="26"/>
          <w:szCs w:val="26"/>
        </w:rPr>
      </w:pPr>
      <w:r w:rsidRPr="003F189C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9A681" w14:textId="4E9C3B1F" w:rsidR="00557281" w:rsidRPr="003F189C" w:rsidRDefault="00557281" w:rsidP="00557281">
      <w:pPr>
        <w:pStyle w:val="Nagwek2"/>
        <w:rPr>
          <w:sz w:val="44"/>
          <w:szCs w:val="44"/>
        </w:rPr>
      </w:pPr>
      <w:r w:rsidRPr="003F189C">
        <w:rPr>
          <w:rStyle w:val="Pogrubienie"/>
          <w:b/>
          <w:bCs/>
          <w:sz w:val="44"/>
          <w:szCs w:val="44"/>
        </w:rPr>
        <w:t>„Córki czasu. Słowianki, Wielkopolanki, Europejki”</w:t>
      </w:r>
      <w:r w:rsidR="007900DF" w:rsidRPr="003F189C">
        <w:rPr>
          <w:rStyle w:val="Pogrubienie"/>
          <w:b/>
          <w:bCs/>
          <w:sz w:val="44"/>
          <w:szCs w:val="44"/>
        </w:rPr>
        <w:t xml:space="preserve"> – nowa wystawa czasowa w Muzeum Pierwszych Piastów na Lednicy</w:t>
      </w:r>
    </w:p>
    <w:p w14:paraId="4D75877E" w14:textId="5A94E8B4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rStyle w:val="Pogrubienie"/>
          <w:sz w:val="26"/>
          <w:szCs w:val="26"/>
        </w:rPr>
        <w:t>Od 28 sierpnia 2026 r. do 30 kwietnia 2027 r. Muzeum Pierwszych Piastów na Lednicy zaprasza na wystawę czasową „Córki czasu. Słowianki, Wielkopolanki, Europejki</w:t>
      </w:r>
      <w:r w:rsidR="007900DF" w:rsidRPr="003F189C">
        <w:rPr>
          <w:rStyle w:val="Pogrubienie"/>
          <w:sz w:val="26"/>
          <w:szCs w:val="26"/>
        </w:rPr>
        <w:t xml:space="preserve"> do Siedziby Muzeum w Dziekanowicach</w:t>
      </w:r>
      <w:r w:rsidRPr="003F189C">
        <w:rPr>
          <w:rStyle w:val="Pogrubienie"/>
          <w:sz w:val="26"/>
          <w:szCs w:val="26"/>
        </w:rPr>
        <w:t>. To niezwykła opowieść o historii Wielkopolski widzianej oczami kobiet – od czasów pierwszych Piastów po XX wiek – ukazana poprzez losy dziewięciu bohaterek, cenne zabytki, dzieła sztuki, archiwalia i nowoczesne multimedia.</w:t>
      </w:r>
    </w:p>
    <w:p w14:paraId="30DBC471" w14:textId="77777777" w:rsidR="00557281" w:rsidRPr="003F189C" w:rsidRDefault="00557281" w:rsidP="00557281">
      <w:pPr>
        <w:pStyle w:val="Nagwek3"/>
        <w:rPr>
          <w:rFonts w:ascii="Times New Roman" w:hAnsi="Times New Roman" w:cs="Times New Roman"/>
          <w:sz w:val="26"/>
          <w:szCs w:val="26"/>
        </w:rPr>
      </w:pPr>
      <w:r w:rsidRPr="003F189C">
        <w:rPr>
          <w:rFonts w:ascii="Times New Roman" w:hAnsi="Times New Roman" w:cs="Times New Roman"/>
          <w:sz w:val="26"/>
          <w:szCs w:val="26"/>
        </w:rPr>
        <w:t>Historia Wielkopolski widziana poprzez doświadczenia kobiet</w:t>
      </w:r>
    </w:p>
    <w:p w14:paraId="7A0BEA74" w14:textId="1DB0366E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 xml:space="preserve">Wystawa prezentuje wybrane aspekty historii Wielkopolski od X do XX wieku, ukazując je poprzez biografie kobiet oraz materialne świadectwa życia codziennego. Punktem wyjścia stały się losy dziewięciu bohaterek reprezentujących </w:t>
      </w:r>
      <w:r w:rsidR="007900DF" w:rsidRPr="003F189C">
        <w:rPr>
          <w:sz w:val="26"/>
          <w:szCs w:val="26"/>
        </w:rPr>
        <w:t xml:space="preserve">kolejne </w:t>
      </w:r>
      <w:r w:rsidRPr="003F189C">
        <w:rPr>
          <w:sz w:val="26"/>
          <w:szCs w:val="26"/>
        </w:rPr>
        <w:t>epoki i różne formy kobiecej aktywności. Ich historie pozwalają spojrzeć na dzieje regionu z perspektywy doświadczeń, które rzadziej stają się głównym tematem narracji historycznej.</w:t>
      </w:r>
    </w:p>
    <w:p w14:paraId="362E6851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Ekspozycja wpisuje się w wieloletnie badania Muzeum Pierwszych Piastów na Lednicy nad dziedzictwem Wielkopolski. Nie stanowi pełnego przeglądu dziejów kobiet ani historii regionu, lecz autorską interpretację wybranych zagadnień, opartą na źródłach historycznych, archeologicznych i materialnym dziedzictwie. Dobór bohaterek nie miał na celu stworzenia galerii najwybitniejszych postaci, lecz ukazanie różnorodnych sposobów uczestnictwa kobiet w życiu społecznym, religijnym, kulturalnym i naukowym na przestrzeni niemal tysiąca lat.</w:t>
      </w:r>
    </w:p>
    <w:p w14:paraId="2D64AECA" w14:textId="77777777" w:rsidR="00557281" w:rsidRPr="003F189C" w:rsidRDefault="00557281" w:rsidP="00557281">
      <w:pPr>
        <w:pStyle w:val="Nagwek3"/>
        <w:rPr>
          <w:rFonts w:ascii="Times New Roman" w:hAnsi="Times New Roman" w:cs="Times New Roman"/>
          <w:sz w:val="26"/>
          <w:szCs w:val="26"/>
        </w:rPr>
      </w:pPr>
      <w:r w:rsidRPr="003F189C">
        <w:rPr>
          <w:rFonts w:ascii="Times New Roman" w:hAnsi="Times New Roman" w:cs="Times New Roman"/>
          <w:sz w:val="26"/>
          <w:szCs w:val="26"/>
        </w:rPr>
        <w:t>Dziedzictwo odczytywane poprzez obiekty</w:t>
      </w:r>
    </w:p>
    <w:p w14:paraId="0A923A2D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Narrację współtworzą zabytki archeologiczne, dzieła sztuki, archiwalia, fotografie oraz przedmioty codziennego użytku pochodzące ze zbiorów Muzeum Pierwszych Piastów na Lednicy i instytucji współpracujących. Towarzyszą im stroje historyczne, autorskie kompozycje zapachowe oraz materiały multimedialne.</w:t>
      </w:r>
    </w:p>
    <w:p w14:paraId="26CE8C11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 xml:space="preserve">Prezentowane obiekty nie pełnią wyłącznie funkcji ilustracyjnej. Stanowią źródła do poznania życia kobiet, ich miejsca w społeczeństwie, możliwości działania oraz przemian kulturowych </w:t>
      </w:r>
      <w:r w:rsidRPr="003F189C">
        <w:rPr>
          <w:sz w:val="26"/>
          <w:szCs w:val="26"/>
        </w:rPr>
        <w:lastRenderedPageBreak/>
        <w:t>zachodzących w Wielkopolsce na przestrzeni kolejnych stuleci. Nie wszystkie odnoszą się bezpośrednio do bohaterek wystawy — wiele z nich ukazuje kontekst historyczny, materialny i obyczajowy epok, w których żyły.</w:t>
      </w:r>
    </w:p>
    <w:p w14:paraId="5CE03919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Dobór eksponatów podporządkowano nie rekonstrukcji biografii poszczególnych postaci, lecz ukazaniu środowiska społecznego i kulturowego, które współtworzyło ich doświadczenia.</w:t>
      </w:r>
    </w:p>
    <w:p w14:paraId="20FB5484" w14:textId="77777777" w:rsidR="00557281" w:rsidRPr="003F189C" w:rsidRDefault="00557281" w:rsidP="00557281">
      <w:pPr>
        <w:pStyle w:val="Nagwek3"/>
        <w:rPr>
          <w:rFonts w:ascii="Times New Roman" w:hAnsi="Times New Roman" w:cs="Times New Roman"/>
          <w:sz w:val="26"/>
          <w:szCs w:val="26"/>
        </w:rPr>
      </w:pPr>
      <w:r w:rsidRPr="003F189C">
        <w:rPr>
          <w:rFonts w:ascii="Times New Roman" w:hAnsi="Times New Roman" w:cs="Times New Roman"/>
          <w:sz w:val="26"/>
          <w:szCs w:val="26"/>
        </w:rPr>
        <w:t>Opowieść prowadzona przez epoki</w:t>
      </w:r>
    </w:p>
    <w:p w14:paraId="64E61D06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Chronologia porządkuje narrację wystawy, lecz nie stanowi jej jedynego klucza interpretacyjnego. Każde stanowisko koncentruje się na odmiennym aspekcie doświadczeń kobiet — od życia dworskiego i religijnego, przez codzienność, edukację i działalność społeczną, po literaturę, sztukę, medycynę i służbę drugiemu człowiekowi.</w:t>
      </w:r>
    </w:p>
    <w:p w14:paraId="6AF45D8C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Wspólnie tworzą one opowieść o historii Wielkopolski widzianej poprzez losy kobiet reprezentujących różne środowiska społeczne, epoki i możliwości działania.</w:t>
      </w:r>
    </w:p>
    <w:p w14:paraId="3BB5B30E" w14:textId="77777777" w:rsidR="00557281" w:rsidRPr="003F189C" w:rsidRDefault="00557281" w:rsidP="00557281">
      <w:pPr>
        <w:pStyle w:val="Nagwek3"/>
        <w:rPr>
          <w:rFonts w:ascii="Times New Roman" w:hAnsi="Times New Roman" w:cs="Times New Roman"/>
          <w:sz w:val="26"/>
          <w:szCs w:val="26"/>
        </w:rPr>
      </w:pPr>
      <w:r w:rsidRPr="003F189C">
        <w:rPr>
          <w:rFonts w:ascii="Times New Roman" w:hAnsi="Times New Roman" w:cs="Times New Roman"/>
          <w:sz w:val="26"/>
          <w:szCs w:val="26"/>
        </w:rPr>
        <w:t>Zaproszenie do refleksji</w:t>
      </w:r>
    </w:p>
    <w:p w14:paraId="44A2E8D7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Ostatnim elementem ekspozycji jest lustro. Nie stanowi ono eksponatu, lecz zamyka narrację wystawy, kierując uwagę zwiedzających ku relacji między przeszłością a współczesnością. Zachęca do refleksji nad tym, w jaki sposób historia kształtuje pamięć, tożsamość i sposób postrzegania własnego miejsca w świecie.</w:t>
      </w:r>
    </w:p>
    <w:p w14:paraId="38CB6842" w14:textId="77777777" w:rsidR="00557281" w:rsidRPr="003F189C" w:rsidRDefault="00557281" w:rsidP="00557281">
      <w:pPr>
        <w:pStyle w:val="Nagwek3"/>
        <w:rPr>
          <w:rFonts w:ascii="Times New Roman" w:hAnsi="Times New Roman" w:cs="Times New Roman"/>
          <w:sz w:val="26"/>
          <w:szCs w:val="26"/>
        </w:rPr>
      </w:pPr>
      <w:r w:rsidRPr="003F189C">
        <w:rPr>
          <w:rFonts w:ascii="Times New Roman" w:hAnsi="Times New Roman" w:cs="Times New Roman"/>
          <w:sz w:val="26"/>
          <w:szCs w:val="26"/>
        </w:rPr>
        <w:t>Bohaterki wystawy</w:t>
      </w:r>
    </w:p>
    <w:p w14:paraId="6E6B71E2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>Wystawa przedstawia dziewięć kobiet, których losy pozwalają spojrzeć na historię Wielkopolski z różnych perspektyw:</w:t>
      </w:r>
    </w:p>
    <w:p w14:paraId="2AFCD700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Świętosława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Piastówna na dworach Północy. Tożsamość Świętosławy pozostaje przedmiotem badań historyków. Część badaczy utożsamia ją z występującą w tradycji skandynawskiej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Sygrydą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Storrådą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>, królową Szwecji i Danii oraz matką Knuta Wielkiego. Rozproszone i nie zawsze zgodne źródła sprawiają, że jej biografia pozostaje jedną z najbardziej intrygujących zagadek wczesnego średniowiecza.</w:t>
      </w:r>
    </w:p>
    <w:p w14:paraId="40D0E40E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 xml:space="preserve">Błogosławiona </w:t>
      </w:r>
      <w:proofErr w:type="spellStart"/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Jolenta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– Księżna Wielkopolski. Kult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Jolenty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rozwijał się w Gnieźnie już w średniowieczu, jednak jego formalne zatwierdzenie nastąpiło dopiero w 1827 roku, za pontyfikatu papieża Leona XII. Do dziś pozostaje jedną z patronek archidiecezji gnieźnieńskiej.</w:t>
      </w:r>
    </w:p>
    <w:p w14:paraId="28C9CABF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lastRenderedPageBreak/>
        <w:t>Zielarki z Gorzuchowa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Jeden z ostatnich procesów o czary. Proces kobiet z Gorzuchowa z 1761 roku należał do ostatnich procesów o czary w Wielkopolsce. Toczył się w czasie, gdy w wielu krajach Europy coraz częściej podważano wiarygodność podobnych oskarżeń oraz zasadność stosowania tortur w postępowaniu sądowym.</w:t>
      </w:r>
    </w:p>
    <w:p w14:paraId="6073DD2C" w14:textId="18F49F8F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 xml:space="preserve">Emilia </w:t>
      </w:r>
      <w:proofErr w:type="spellStart"/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Sczaniecka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– „Generałowa” bez stopnia wojskowego. Choć Emilia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Sczaniecka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nie pełniła funkcji wojskowej, uczestnicy powstań nazywali ją „generałową”. Przydomek odnosił się do jej zdolności organizacyjnych, zaangażowania w tworzenie zaplecza medycznego oraz opieki nad rannymi podczas kolejnych zrywów niepodległościowych.</w:t>
      </w:r>
      <w:r w:rsidRPr="003F189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 </w:t>
      </w:r>
      <w:r w:rsidRPr="003F189C"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63360" behindDoc="1" locked="1" layoutInCell="1" allowOverlap="0" wp14:anchorId="4009C82E" wp14:editId="1FB15EDC">
            <wp:simplePos x="0" y="0"/>
            <wp:positionH relativeFrom="page">
              <wp:posOffset>15240</wp:posOffset>
            </wp:positionH>
            <wp:positionV relativeFrom="margin">
              <wp:posOffset>-1792605</wp:posOffset>
            </wp:positionV>
            <wp:extent cx="7545070" cy="10677525"/>
            <wp:effectExtent l="0" t="0" r="0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8CE61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Helena Modrzejewska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Kariera na dwóch kontynentach. Po wyjeździe do Stanów Zjednoczonych Helena Modrzejewska rozpoczęła intensywną naukę języka angielskiego i w krótkim czasie rozpoczęła występy na amerykańskich scenach. Jako Helena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Modjeska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zdobyła międzynarodowe uznanie przede wszystkim dzięki rolom w dramatach Williama Szekspira.</w:t>
      </w:r>
    </w:p>
    <w:p w14:paraId="7F124091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Maria Konopnicka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Utrzymywała rodzinę z pracy pisarskiej. Po rozstaniu z mężem Maria Konopnicka samodzielnie utrzymywała siebie i sześcioro dzieci z pracy literackiej, publicystycznej i redakcyjnej. W drugiej połowie XIX wieku niezależność ekonomiczna kobiet oparta na działalności intelektualnej należała do rzadkości.</w:t>
      </w:r>
    </w:p>
    <w:p w14:paraId="7A43F900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Jadwiga Zamoyska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Edukacja połączona z praktyką. Jadwiga Zamoyska uważała, że wykształcenie kobiet powinno przygotowywać je zarówno do życia rodzinnego, jak i odpowiedzialnego uczestnictwa w życiu społecznym. Założona przez nią Szkoła Domowej Pracy Kobiet łączyła naukę z pracą praktyczną oraz wychowaniem opartym na odpowiedzialności i służbie wspólnemu dobru.</w:t>
      </w:r>
    </w:p>
    <w:p w14:paraId="1CB47ECC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Maria Dąbrowska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Od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Russowa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do Serbinowa. Rodzinny Russów i okolice Kalisza stały się jednym z głównych źródeł inspiracji dla świata przedstawionego w </w:t>
      </w:r>
      <w:r w:rsidRPr="003F189C">
        <w:rPr>
          <w:rStyle w:val="Uwydatnienie"/>
          <w:rFonts w:ascii="Times New Roman" w:hAnsi="Times New Roman" w:cs="Times New Roman"/>
          <w:sz w:val="26"/>
          <w:szCs w:val="26"/>
        </w:rPr>
        <w:t>Nocach i dniach</w:t>
      </w:r>
      <w:r w:rsidRPr="003F189C">
        <w:rPr>
          <w:rFonts w:ascii="Times New Roman" w:hAnsi="Times New Roman" w:cs="Times New Roman"/>
          <w:sz w:val="26"/>
          <w:szCs w:val="26"/>
        </w:rPr>
        <w:t xml:space="preserve">. Literackim odpowiednikiem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Russowa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 xml:space="preserve"> był Serbinów, dzięki czemu krajobraz południowej Wielkopolski na trwałe zapisał się w historii polskiej literatury.</w:t>
      </w:r>
    </w:p>
    <w:p w14:paraId="53710D15" w14:textId="77777777" w:rsidR="00557281" w:rsidRPr="003F189C" w:rsidRDefault="00557281" w:rsidP="005572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3F189C">
        <w:rPr>
          <w:rStyle w:val="Pogrubienie"/>
          <w:rFonts w:ascii="Times New Roman" w:hAnsi="Times New Roman" w:cs="Times New Roman"/>
          <w:sz w:val="26"/>
          <w:szCs w:val="26"/>
        </w:rPr>
        <w:t>Wanda Błeńska</w:t>
      </w:r>
      <w:r w:rsidRPr="003F189C">
        <w:rPr>
          <w:rFonts w:ascii="Times New Roman" w:hAnsi="Times New Roman" w:cs="Times New Roman"/>
          <w:sz w:val="26"/>
          <w:szCs w:val="26"/>
        </w:rPr>
        <w:t xml:space="preserve"> – Lekarka z </w:t>
      </w:r>
      <w:proofErr w:type="spellStart"/>
      <w:r w:rsidRPr="003F189C">
        <w:rPr>
          <w:rFonts w:ascii="Times New Roman" w:hAnsi="Times New Roman" w:cs="Times New Roman"/>
          <w:sz w:val="26"/>
          <w:szCs w:val="26"/>
        </w:rPr>
        <w:t>Buluby</w:t>
      </w:r>
      <w:proofErr w:type="spellEnd"/>
      <w:r w:rsidRPr="003F189C">
        <w:rPr>
          <w:rFonts w:ascii="Times New Roman" w:hAnsi="Times New Roman" w:cs="Times New Roman"/>
          <w:sz w:val="26"/>
          <w:szCs w:val="26"/>
        </w:rPr>
        <w:t>. Przez ponad czterdzieści lat Wanda Błeńska pracowała w Ugandzie, lecząc osoby chore na trąd i szkoląc miejscowy personel medyczny. Jej działalność łączyła pracę lekarską z edukacją i rozwojem lokalnej opieki zdrowotnej. Podkreślała znaczenie bezpośredniego kontaktu z pacjentami oraz sprzeciwiała się ich społecznemu wykluczeniu.</w:t>
      </w:r>
    </w:p>
    <w:p w14:paraId="330FC894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 xml:space="preserve">Kurator wystawy: </w:t>
      </w:r>
      <w:r w:rsidRPr="003F189C">
        <w:rPr>
          <w:rStyle w:val="Pogrubienie"/>
          <w:sz w:val="26"/>
          <w:szCs w:val="26"/>
        </w:rPr>
        <w:t xml:space="preserve">Agnieszka </w:t>
      </w:r>
      <w:proofErr w:type="spellStart"/>
      <w:r w:rsidRPr="003F189C">
        <w:rPr>
          <w:rStyle w:val="Pogrubienie"/>
          <w:sz w:val="26"/>
          <w:szCs w:val="26"/>
        </w:rPr>
        <w:t>Ziebarth</w:t>
      </w:r>
      <w:proofErr w:type="spellEnd"/>
    </w:p>
    <w:p w14:paraId="7F8EA975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t xml:space="preserve">Konsultacja merytoryczna: </w:t>
      </w:r>
      <w:r w:rsidRPr="003F189C">
        <w:rPr>
          <w:rStyle w:val="Pogrubienie"/>
          <w:sz w:val="26"/>
          <w:szCs w:val="26"/>
        </w:rPr>
        <w:t>dr Andrzej Kowalczyk</w:t>
      </w:r>
    </w:p>
    <w:p w14:paraId="1F07E996" w14:textId="77777777" w:rsidR="00557281" w:rsidRPr="003F189C" w:rsidRDefault="00557281" w:rsidP="00557281">
      <w:pPr>
        <w:pStyle w:val="isselectedend"/>
        <w:rPr>
          <w:sz w:val="26"/>
          <w:szCs w:val="26"/>
        </w:rPr>
      </w:pPr>
      <w:r w:rsidRPr="003F189C">
        <w:rPr>
          <w:sz w:val="26"/>
          <w:szCs w:val="26"/>
        </w:rPr>
        <w:lastRenderedPageBreak/>
        <w:t>Zabytki prezentowane na wystawie pochodzą ze zbiorów: Archidiecezji Poznańskiej, Biblioteki Kórnickiej PAN, Klasztoru Franciszkanów w Gnieźnie, Muzeum Historii Ubioru w Poznaniu, Muzeum Okręgowego Ziemi Kaliskiej, Muzeum Pierwszych Piastów na Lednicy, Muzeum Tradycji Niepodległościowych w Łodzi oraz Muzeum Uniwersytetu Medycznego im. Karola Marcinkowskiego w Poznaniu.</w:t>
      </w:r>
    </w:p>
    <w:p w14:paraId="35286A4A" w14:textId="77777777" w:rsidR="003F189C" w:rsidRPr="003F189C" w:rsidRDefault="00557281" w:rsidP="00170792">
      <w:pPr>
        <w:pStyle w:val="NormalnyWeb"/>
        <w:rPr>
          <w:rStyle w:val="Pogrubienie"/>
          <w:sz w:val="26"/>
          <w:szCs w:val="26"/>
        </w:rPr>
      </w:pPr>
      <w:r w:rsidRPr="003F189C">
        <w:rPr>
          <w:rStyle w:val="Pogrubienie"/>
          <w:sz w:val="26"/>
          <w:szCs w:val="26"/>
        </w:rPr>
        <w:t>Wystawa „Córki czasu. Słowianki, Wielkopolanki, Europejki” będzie dostępna dla zwiedzających od 28 sierpnia 2026 r. do 30 kwietnia 2027 r. w Siedzibie Muzeum Pierwszych Piastów na Lednicy (Dziekanowice 32).</w:t>
      </w:r>
    </w:p>
    <w:p w14:paraId="60376FE6" w14:textId="23DD8589" w:rsidR="00BC4C96" w:rsidRPr="003F189C" w:rsidRDefault="003F189C" w:rsidP="00170792">
      <w:pPr>
        <w:pStyle w:val="NormalnyWeb"/>
        <w:rPr>
          <w:sz w:val="26"/>
          <w:szCs w:val="26"/>
        </w:rPr>
      </w:pPr>
      <w:r w:rsidRPr="003F189C">
        <w:rPr>
          <w:rStyle w:val="Pogrubienie"/>
          <w:noProof/>
          <w:sz w:val="26"/>
          <w:szCs w:val="26"/>
        </w:rPr>
        <w:drawing>
          <wp:inline distT="0" distB="0" distL="0" distR="0" wp14:anchorId="2BE39B22" wp14:editId="19DF3AC0">
            <wp:extent cx="6257925" cy="351472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C96" w:rsidRPr="003F189C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0" wp14:anchorId="741DD33E" wp14:editId="46493224">
            <wp:simplePos x="0" y="0"/>
            <wp:positionH relativeFrom="page">
              <wp:posOffset>15240</wp:posOffset>
            </wp:positionH>
            <wp:positionV relativeFrom="page">
              <wp:posOffset>9525</wp:posOffset>
            </wp:positionV>
            <wp:extent cx="7545070" cy="1067752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C96" w:rsidRPr="003F189C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914B7" w14:textId="77777777" w:rsidR="007C5092" w:rsidRDefault="007C5092" w:rsidP="00184551">
      <w:pPr>
        <w:spacing w:after="0" w:line="240" w:lineRule="auto"/>
      </w:pPr>
      <w:r>
        <w:separator/>
      </w:r>
    </w:p>
  </w:endnote>
  <w:endnote w:type="continuationSeparator" w:id="0">
    <w:p w14:paraId="5D9CC106" w14:textId="77777777" w:rsidR="007C5092" w:rsidRDefault="007C5092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1749C" w14:textId="77777777" w:rsidR="007C5092" w:rsidRDefault="007C5092" w:rsidP="00184551">
      <w:pPr>
        <w:spacing w:after="0" w:line="240" w:lineRule="auto"/>
      </w:pPr>
      <w:r>
        <w:separator/>
      </w:r>
    </w:p>
  </w:footnote>
  <w:footnote w:type="continuationSeparator" w:id="0">
    <w:p w14:paraId="72C02843" w14:textId="77777777" w:rsidR="007C5092" w:rsidRDefault="007C5092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7F3192"/>
    <w:multiLevelType w:val="multilevel"/>
    <w:tmpl w:val="CDA8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03775"/>
    <w:rsid w:val="00055ED5"/>
    <w:rsid w:val="000D4D70"/>
    <w:rsid w:val="001503BA"/>
    <w:rsid w:val="00170792"/>
    <w:rsid w:val="00184551"/>
    <w:rsid w:val="00190DBA"/>
    <w:rsid w:val="00195F75"/>
    <w:rsid w:val="001E1589"/>
    <w:rsid w:val="002379CB"/>
    <w:rsid w:val="003F189C"/>
    <w:rsid w:val="00431A86"/>
    <w:rsid w:val="0046215E"/>
    <w:rsid w:val="00545100"/>
    <w:rsid w:val="00557281"/>
    <w:rsid w:val="006067C1"/>
    <w:rsid w:val="006F1042"/>
    <w:rsid w:val="00725D44"/>
    <w:rsid w:val="0072767B"/>
    <w:rsid w:val="00773552"/>
    <w:rsid w:val="007900DF"/>
    <w:rsid w:val="007C5092"/>
    <w:rsid w:val="007E4BCB"/>
    <w:rsid w:val="00812D19"/>
    <w:rsid w:val="0081467E"/>
    <w:rsid w:val="008D752C"/>
    <w:rsid w:val="0090435C"/>
    <w:rsid w:val="00906596"/>
    <w:rsid w:val="009112A7"/>
    <w:rsid w:val="009568E3"/>
    <w:rsid w:val="009574E5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C4C96"/>
    <w:rsid w:val="00BD6DE9"/>
    <w:rsid w:val="00C231A2"/>
    <w:rsid w:val="00CB5104"/>
    <w:rsid w:val="00CE6C34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1016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6</cp:revision>
  <cp:lastPrinted>2025-08-20T11:01:00Z</cp:lastPrinted>
  <dcterms:created xsi:type="dcterms:W3CDTF">2026-08-24T20:47:00Z</dcterms:created>
  <dcterms:modified xsi:type="dcterms:W3CDTF">2026-08-26T06:02:00Z</dcterms:modified>
</cp:coreProperties>
</file>