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bidi w:val="0"/>
        <w:spacing w:before="200" w:after="120"/>
        <w:jc w:val="start"/>
        <w:rPr>
          <w:rFonts w:ascii="Georgia;Times New Roman;Times;serif" w:hAnsi="Georgia;Times New Roman;Times;serif"/>
          <w:b w:val="false"/>
          <w:i w:val="false"/>
          <w:caps/>
          <w:color w:val="58595B"/>
          <w:spacing w:val="0"/>
          <w:sz w:val="36"/>
        </w:rPr>
      </w:pPr>
      <w:r>
        <w:rPr>
          <w:rFonts w:ascii="Georgia;Times New Roman;Times;serif" w:hAnsi="Georgia;Times New Roman;Times;serif"/>
          <w:b w:val="false"/>
          <w:i w:val="false"/>
          <w:caps/>
          <w:color w:val="58595B"/>
          <w:spacing w:val="0"/>
          <w:sz w:val="36"/>
        </w:rPr>
        <w:t>25 paźdzernika | Zapraszamy na spotkanie poświęcone bł. Jolencie</w:t>
      </w:r>
    </w:p>
    <w:p>
      <w:pPr>
        <w:pStyle w:val="BodyText"/>
        <w:widowControl/>
        <w:pBdr/>
        <w:bidi w:val="0"/>
        <w:spacing w:before="0" w:after="0"/>
        <w:ind w:hanging="0" w:start="0" w:end="0"/>
        <w:jc w:val="both"/>
        <w:rPr>
          <w:rFonts w:ascii="Verdana;sans-serif" w:hAnsi="Verdana;sans-serif"/>
          <w:b/>
          <w:i w:val="false"/>
          <w:caps w:val="false"/>
          <w:smallCaps w:val="false"/>
          <w:color w:val="58595B"/>
          <w:spacing w:val="0"/>
          <w:sz w:val="21"/>
        </w:rPr>
      </w:pPr>
      <w:r>
        <w:rPr>
          <w:rFonts w:ascii="Verdana;sans-serif" w:hAnsi="Verdana;sans-serif"/>
          <w:b/>
          <w:i w:val="false"/>
          <w:caps w:val="false"/>
          <w:smallCaps w:val="false"/>
          <w:color w:val="58595B"/>
          <w:spacing w:val="0"/>
          <w:sz w:val="21"/>
        </w:rPr>
        <w:t>Muzeum Pierwszych Piastów na Lednicy zaprasza 25 października 2026 roku o godz. 13:00 na spotkanie poświęcone błogosławionej Jolencie - węgierskiej królewnie, księżnej wielkopolskiej i gnieźnieńskiej klarysce. Wykład wygłosi o. dr Tomasz Jank OFMConv z Klasztoru Franciszkanów w Gnieźnie. Wydarzenie odbędzie się w sali Albina Węsierskiego w Muzeum Pierwszych Piastów na Lednicy (Dziekanowice 32) i zainauguruje cykl spotkań towarzyszących wystawie „Córki czasu. Słowianki, Wielkopolanki, Europejki”.</w:t>
      </w:r>
      <w:r>
        <mc:AlternateContent>
          <mc:Choice Requires="wps">
            <w:drawing>
              <wp:anchor distT="0" distB="95250" distL="0" distR="0" simplePos="0" relativeHeight="2" behindDoc="0" locked="0" layoutInCell="0" allowOverlap="1">
                <wp:simplePos x="0" y="0"/>
                <wp:positionH relativeFrom="column">
                  <wp:align>left</wp:align>
                </wp:positionH>
                <wp:positionV relativeFrom="line">
                  <wp:posOffset>635</wp:posOffset>
                </wp:positionV>
                <wp:extent cx="7560310" cy="5486400"/>
                <wp:effectExtent l="0" t="0" r="0" b="0"/>
                <wp:wrapSquare wrapText="right"/>
                <wp:docPr id="1" name="Ramka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0310" cy="548640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bidi w:val="0"/>
                              <w:spacing w:before="0" w:after="14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8096250" cy="5391150"/>
                                  <wp:effectExtent l="0" t="0" r="0" b="0"/>
                                  <wp:docPr id="2" name="Obraz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Obraz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96250" cy="5391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595.3pt;height:432pt;mso-wrap-distance-left:0pt;mso-wrap-distance-right:0pt;mso-wrap-distance-top:0pt;mso-wrap-distance-bottom:7.5pt;margin-top:0pt;mso-position-vertical:top;mso-position-vertical-relative:text;margin-left:-56.7pt;mso-position-horizontal:left;mso-position-horizontal-relative:text">
                <v:textbox inset="0in,0in,0in,0in">
                  <w:txbxContent>
                    <w:p>
                      <w:pPr>
                        <w:pStyle w:val="BodyText"/>
                        <w:bidi w:val="0"/>
                        <w:spacing w:before="0" w:after="140"/>
                        <w:ind w:hanging="0" w:start="0" w:end="0"/>
                        <w:jc w:val="start"/>
                        <w:rPr/>
                      </w:pPr>
                      <w:r>
                        <w:rPr/>
                        <w:drawing>
                          <wp:inline distT="0" distB="0" distL="0" distR="0">
                            <wp:extent cx="8096250" cy="5391150"/>
                            <wp:effectExtent l="0" t="0" r="0" b="0"/>
                            <wp:docPr id="3" name="Obraz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Obraz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96250" cy="5391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side="right"/>
              </v:rect>
            </w:pict>
          </mc:Fallback>
        </mc:AlternateContent>
      </w:r>
    </w:p>
    <w:p>
      <w:pPr>
        <w:pStyle w:val="BodyText"/>
        <w:widowControl/>
        <w:pBdr/>
        <w:bidi w:val="0"/>
        <w:spacing w:before="0" w:after="0"/>
        <w:ind w:hanging="0" w:start="0" w:end="0"/>
        <w:jc w:val="start"/>
        <w:rPr>
          <w:caps w:val="false"/>
          <w:smallCaps w:val="false"/>
          <w:color w:val="58595B"/>
          <w:spacing w:val="0"/>
        </w:rPr>
      </w:pPr>
      <w:r>
        <w:rPr>
          <w:caps w:val="false"/>
          <w:smallCaps w:val="false"/>
          <w:color w:val="58595B"/>
          <w:spacing w:val="0"/>
        </w:rPr>
        <w:t> </w:t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9638"/>
      </w:tblGrid>
      <w:tr>
        <w:trPr/>
        <w:tc>
          <w:tcPr>
            <w:tcW w:w="9638" w:type="dxa"/>
            <w:tcBorders/>
            <w:vAlign w:val="center"/>
          </w:tcPr>
          <w:p>
            <w:pPr>
              <w:pStyle w:val="Heading2"/>
              <w:pBdr/>
              <w:bidi w:val="0"/>
              <w:spacing w:lineRule="auto" w:line="264" w:before="300" w:after="150"/>
              <w:ind w:hanging="0" w:start="0" w:end="0"/>
              <w:jc w:val="center"/>
              <w:rPr>
                <w:rFonts w:ascii="verdana" w:hAnsi="verdana"/>
                <w:b/>
                <w:caps/>
                <w:color w:val="58595B"/>
                <w:sz w:val="21"/>
              </w:rPr>
            </w:pPr>
            <w:r>
              <w:rPr>
                <w:rFonts w:ascii="verdana" w:hAnsi="verdana"/>
                <w:b/>
                <w:caps/>
                <w:color w:val="58595B"/>
                <w:sz w:val="21"/>
              </w:rPr>
              <w:t>Spotkanie poświęcone błogosławionej Jolencie</w:t>
            </w:r>
          </w:p>
          <w:p>
            <w:pPr>
              <w:pStyle w:val="Zawartotabeli"/>
              <w:pBdr/>
              <w:bidi w:val="0"/>
              <w:spacing w:before="0" w:after="0"/>
              <w:ind w:hanging="0" w:start="0" w:end="0"/>
              <w:jc w:val="center"/>
              <w:rPr/>
            </w:pPr>
            <w:r>
              <w:rPr>
                <w:rStyle w:val="Strong"/>
                <w:rFonts w:ascii="verdana" w:hAnsi="verdana"/>
                <w:b/>
                <w:sz w:val="21"/>
              </w:rPr>
              <w:t>Data:</w:t>
            </w:r>
            <w:r>
              <w:rPr>
                <w:rFonts w:ascii="verdana" w:hAnsi="verdana"/>
                <w:sz w:val="21"/>
              </w:rPr>
              <w:t xml:space="preserve"> 25 października 2026 r. (niedziela), godz. 13:00</w:t>
              <w:br/>
            </w:r>
            <w:r>
              <w:rPr>
                <w:rStyle w:val="Strong"/>
                <w:rFonts w:ascii="verdana" w:hAnsi="verdana"/>
                <w:b/>
                <w:sz w:val="21"/>
              </w:rPr>
              <w:t>Miejsce:</w:t>
            </w:r>
            <w:r>
              <w:rPr>
                <w:rFonts w:ascii="verdana" w:hAnsi="verdana"/>
                <w:sz w:val="21"/>
              </w:rPr>
              <w:t xml:space="preserve"> Sala Albina Węsierskiego, Muzeum Pierwszych Piastów na Lednicy, Dziekanowice 32</w:t>
              <w:br/>
            </w:r>
            <w:r>
              <w:rPr>
                <w:rStyle w:val="Strong"/>
                <w:rFonts w:ascii="verdana" w:hAnsi="verdana"/>
                <w:b/>
                <w:sz w:val="21"/>
              </w:rPr>
              <w:t>Gość:</w:t>
            </w:r>
            <w:r>
              <w:rPr>
                <w:rFonts w:ascii="verdana" w:hAnsi="verdana"/>
                <w:sz w:val="21"/>
              </w:rPr>
              <w:t xml:space="preserve"> o. dr Tomasz Jank OFMConv, Klasztor Franciszkanów w Gnieźnie,</w:t>
              <w:br/>
              <w:t>Prowincjalny Promotor Kultu błogosławionej Jolenty</w:t>
            </w:r>
          </w:p>
          <w:p>
            <w:pPr>
              <w:pStyle w:val="Zawartotabeli"/>
              <w:pBdr/>
              <w:bidi w:val="0"/>
              <w:spacing w:before="0" w:after="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BodyText"/>
        <w:widowControl/>
        <w:pBdr/>
        <w:bidi w:val="0"/>
        <w:spacing w:before="0" w:after="0"/>
        <w:ind w:hanging="0" w:start="0" w:end="0"/>
        <w:jc w:val="start"/>
        <w:rPr/>
      </w:pPr>
      <w:r>
        <w:rPr>
          <w:rFonts w:ascii="Verdana;Arial;Helvetica;sans-serif" w:hAnsi="Verdana;Arial;Helvetica;sans-serif"/>
          <w:b w:val="false"/>
          <w:i w:val="false"/>
          <w:caps w:val="false"/>
          <w:smallCaps w:val="false"/>
          <w:color w:val="58595B"/>
          <w:spacing w:val="0"/>
          <w:sz w:val="21"/>
        </w:rPr>
        <w:br/>
      </w: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 xml:space="preserve">Pierwsze spotkanie poświęcone będzie </w:t>
      </w:r>
      <w:r>
        <w:rPr>
          <w:rStyle w:val="Strong"/>
          <w:rFonts w:ascii="verdana" w:hAnsi="verdana"/>
          <w:b/>
          <w:i w:val="false"/>
          <w:caps w:val="false"/>
          <w:smallCaps w:val="false"/>
          <w:color w:val="58595B"/>
          <w:spacing w:val="0"/>
          <w:sz w:val="21"/>
        </w:rPr>
        <w:t>bł. Jolencie</w:t>
      </w: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>, węgierskiej królewnie, księżnej wielkopolskiej i gnieźnieńskiej klarysce. Jej biografia stanie się punktem wyjścia do opowieści o powiązaniach dynastycznych, życiu dworskim i zakonnym oraz możliwościach działania kobiet w XIII-wiecznej Wielkopolsce. Wykład przybliży również dzieje jej kultu i pozwoli spojrzeć na Jolentę zarówno jako postać historyczną, jak i osobę wciąż ważną dla współczesnych wiernych.</w:t>
      </w:r>
    </w:p>
    <w:p>
      <w:pPr>
        <w:pStyle w:val="Heading4"/>
        <w:widowControl/>
        <w:pBdr/>
        <w:bidi w:val="0"/>
        <w:spacing w:lineRule="auto" w:line="264" w:before="150" w:after="150"/>
        <w:ind w:hanging="0" w:start="0" w:end="0"/>
        <w:jc w:val="start"/>
        <w:rPr>
          <w:caps/>
          <w:color w:val="58595B"/>
          <w:spacing w:val="0"/>
        </w:rPr>
      </w:pPr>
      <w:r>
        <w:rPr>
          <w:caps/>
          <w:color w:val="58595B"/>
          <w:spacing w:val="0"/>
        </w:rPr>
        <w:t>„</w:t>
      </w:r>
      <w:r>
        <w:rPr>
          <w:rFonts w:ascii="verdana" w:hAnsi="verdana"/>
          <w:b/>
          <w:i w:val="false"/>
          <w:caps/>
          <w:color w:val="58595B"/>
          <w:spacing w:val="0"/>
          <w:sz w:val="21"/>
        </w:rPr>
        <w:t>Córki czasu - historie opowiedziane”. Cykl spotkań wokół wystawy</w:t>
      </w:r>
    </w:p>
    <w:p>
      <w:pPr>
        <w:pStyle w:val="BodyText"/>
        <w:widowControl/>
        <w:pBdr/>
        <w:bidi w:val="0"/>
        <w:spacing w:before="0" w:after="0"/>
        <w:ind w:hanging="0" w:start="0" w:end="0"/>
        <w:jc w:val="start"/>
        <w:rPr/>
      </w:pP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 xml:space="preserve">Październikowe wydarzenie rozpocznie </w:t>
      </w:r>
      <w:r>
        <w:rPr>
          <w:rStyle w:val="Strong"/>
          <w:rFonts w:ascii="verdana" w:hAnsi="verdana"/>
          <w:b/>
          <w:i w:val="false"/>
          <w:caps w:val="false"/>
          <w:smallCaps w:val="false"/>
          <w:color w:val="58595B"/>
          <w:spacing w:val="0"/>
          <w:sz w:val="21"/>
        </w:rPr>
        <w:t>cykl wykładów i rozmów „Córki czasu - historie opowiedziane”</w:t>
      </w: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 xml:space="preserve">, towarzyszący wystawie </w:t>
      </w:r>
      <w:hyperlink r:id="rId4" w:tgtFrame="_blank">
        <w:r>
          <w:rPr>
            <w:rStyle w:val="Hyperlink"/>
            <w:rFonts w:ascii="verdana" w:hAnsi="verdana"/>
            <w:b/>
            <w:b w:val="false"/>
            <w:bCs/>
            <w:i w:val="false"/>
            <w:caps w:val="false"/>
            <w:smallCaps w:val="false"/>
            <w:strike w:val="false"/>
            <w:dstrike w:val="false"/>
            <w:color w:val="F15A23"/>
            <w:spacing w:val="0"/>
            <w:sz w:val="21"/>
            <w:u w:val="none"/>
            <w:effect w:val="none"/>
            <w:shd w:fill="auto" w:val="clear"/>
          </w:rPr>
          <w:t>„</w:t>
        </w:r>
        <w:r>
          <w:rPr>
            <w:rStyle w:val="Hyperlink"/>
            <w:rFonts w:ascii="verdana" w:hAnsi="verdana"/>
            <w:b/>
            <w:b/>
            <w:bCs/>
            <w:i w:val="false"/>
            <w:caps w:val="false"/>
            <w:smallCaps w:val="false"/>
            <w:strike w:val="false"/>
            <w:dstrike w:val="false"/>
            <w:color w:val="F15A23"/>
            <w:spacing w:val="0"/>
            <w:sz w:val="21"/>
            <w:u w:val="none"/>
            <w:effect w:val="none"/>
            <w:shd w:fill="auto" w:val="clear"/>
          </w:rPr>
          <w:t>Córki czasu. Słowianki, Wielkopolanki, Europejki”</w:t>
        </w:r>
      </w:hyperlink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>. To okazja, by poznać bohaterki wystawy w szerszym kontekście epok, w których żyły, oraz porozmawiać o możliwościach działania kobiet, ich aspiracjach, ograniczeniach i wpływie na historię Wielkopolski i Polski.</w:t>
      </w:r>
    </w:p>
    <w:p>
      <w:pPr>
        <w:pStyle w:val="BodyText"/>
        <w:widowControl/>
        <w:pBdr/>
        <w:bidi w:val="0"/>
        <w:spacing w:before="0" w:after="0"/>
        <w:ind w:hanging="0" w:start="0" w:end="0"/>
        <w:jc w:val="start"/>
        <w:rPr>
          <w:rFonts w:ascii="Verdana;Arial;Helvetica;sans-serif" w:hAnsi="Verdana;Arial;Helvetica;sans-serif"/>
          <w:b w:val="false"/>
          <w:i w:val="false"/>
          <w:caps w:val="false"/>
          <w:smallCaps w:val="false"/>
          <w:color w:val="58595B"/>
          <w:spacing w:val="0"/>
          <w:sz w:val="21"/>
        </w:rPr>
      </w:pPr>
      <w:r>
        <w:rPr>
          <w:rFonts w:ascii="Verdana;Arial;Helvetica;sans-serif" w:hAnsi="Verdana;Arial;Helvetica;sans-serif"/>
          <w:b w:val="false"/>
          <w:i w:val="false"/>
          <w:caps w:val="false"/>
          <w:smallCaps w:val="false"/>
          <w:color w:val="58595B"/>
          <w:spacing w:val="0"/>
          <w:sz w:val="21"/>
        </w:rPr>
        <w:br/>
      </w: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>Jak średniowieczne księżne wpływały na politykę? Co proces kobiet z Gorzuchowa mówi o dawnym społeczeństwie? Jak pisarki, artystki i działaczki zdobywały samodzielność i możliwość realizowania własnych ambicji?</w:t>
      </w:r>
    </w:p>
    <w:p>
      <w:pPr>
        <w:pStyle w:val="BodyText"/>
        <w:widowControl/>
        <w:pBdr/>
        <w:bidi w:val="0"/>
        <w:spacing w:before="0" w:after="0"/>
        <w:ind w:hanging="0" w:start="0" w:end="0"/>
        <w:jc w:val="start"/>
        <w:rPr/>
      </w:pPr>
      <w:r>
        <w:rPr>
          <w:rFonts w:ascii="Verdana;Arial;Helvetica;sans-serif" w:hAnsi="Verdana;Arial;Helvetica;sans-serif"/>
          <w:b w:val="false"/>
          <w:i w:val="false"/>
          <w:caps w:val="false"/>
          <w:smallCaps w:val="false"/>
          <w:color w:val="58595B"/>
          <w:spacing w:val="0"/>
          <w:sz w:val="21"/>
        </w:rPr>
        <w:br/>
      </w:r>
      <w:r>
        <w:rPr>
          <w:rStyle w:val="Strong"/>
          <w:rFonts w:ascii="verdana" w:hAnsi="verdana"/>
          <w:b/>
          <w:i w:val="false"/>
          <w:caps w:val="false"/>
          <w:smallCaps w:val="false"/>
          <w:color w:val="58595B"/>
          <w:spacing w:val="0"/>
          <w:sz w:val="21"/>
        </w:rPr>
        <w:t>Muzeum Pierwszych Piastów na Lednicy</w:t>
      </w: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 xml:space="preserve"> zaprasza na cykl spotkań, podczas których historie bohaterek wystawy otworzą rozmowę o epokach, w których żyły. Przyjrzymy się ich wyborom, aspiracjom i działalności, a także warunkom społecznym, obyczajom i ograniczeniom kształtującym ich życie.</w:t>
      </w:r>
    </w:p>
    <w:p>
      <w:pPr>
        <w:pStyle w:val="BodyText"/>
        <w:widowControl/>
        <w:pBdr/>
        <w:bidi w:val="0"/>
        <w:spacing w:before="0" w:after="0"/>
        <w:ind w:hanging="0" w:start="0" w:end="0"/>
        <w:jc w:val="start"/>
        <w:rPr>
          <w:rFonts w:ascii="Verdana;Arial;Helvetica;sans-serif" w:hAnsi="Verdana;Arial;Helvetica;sans-serif"/>
          <w:b w:val="false"/>
          <w:i w:val="false"/>
          <w:caps w:val="false"/>
          <w:smallCaps w:val="false"/>
          <w:color w:val="58595B"/>
          <w:spacing w:val="0"/>
          <w:sz w:val="21"/>
        </w:rPr>
      </w:pPr>
      <w:r>
        <w:rPr>
          <w:rFonts w:ascii="Verdana;Arial;Helvetica;sans-serif" w:hAnsi="Verdana;Arial;Helvetica;sans-serif"/>
          <w:b w:val="false"/>
          <w:i w:val="false"/>
          <w:caps w:val="false"/>
          <w:smallCaps w:val="false"/>
          <w:color w:val="58595B"/>
          <w:spacing w:val="0"/>
          <w:sz w:val="21"/>
        </w:rPr>
        <w:br/>
      </w: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>Zaproszeni badacze, autorzy i przedstawiciele lokalnych społeczności rozwiną opowieści wystawy, przywołując również inne postacie i wydarzenia. Sięgną do dokumentów, korespondencji, fotografii i lokalnej pamięci. Pokażą, co możemy ustalić na podstawie źródeł, gdzie pozostają luki i jak wpływają one na współczesne odczytanie kobiecych biografii.</w:t>
      </w:r>
    </w:p>
    <w:p>
      <w:pPr>
        <w:pStyle w:val="Heading4"/>
        <w:widowControl/>
        <w:pBdr/>
        <w:bidi w:val="0"/>
        <w:spacing w:lineRule="auto" w:line="264" w:before="150" w:after="150"/>
        <w:ind w:hanging="0" w:start="0" w:end="0"/>
        <w:jc w:val="start"/>
        <w:rPr>
          <w:rFonts w:ascii="verdana" w:hAnsi="verdana"/>
          <w:b/>
          <w:i w:val="false"/>
          <w:caps/>
          <w:color w:val="58595B"/>
          <w:spacing w:val="0"/>
          <w:sz w:val="21"/>
        </w:rPr>
      </w:pPr>
      <w:r>
        <w:rPr>
          <w:rFonts w:ascii="verdana" w:hAnsi="verdana"/>
          <w:b/>
          <w:i w:val="false"/>
          <w:caps/>
          <w:color w:val="58595B"/>
          <w:spacing w:val="0"/>
          <w:sz w:val="21"/>
        </w:rPr>
        <w:t>Bohaterki i tematy kolejnych spotkań</w:t>
      </w:r>
    </w:p>
    <w:p>
      <w:pPr>
        <w:pStyle w:val="BodyText"/>
        <w:widowControl/>
        <w:pBdr/>
        <w:bidi w:val="0"/>
        <w:spacing w:before="0" w:after="0"/>
        <w:ind w:hanging="0" w:start="0" w:end="0"/>
        <w:jc w:val="start"/>
        <w:rPr/>
      </w:pP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 xml:space="preserve">W programie znajdą się </w:t>
      </w:r>
      <w:r>
        <w:rPr>
          <w:rStyle w:val="Strong"/>
          <w:rFonts w:ascii="verdana" w:hAnsi="verdana"/>
          <w:b/>
          <w:i w:val="false"/>
          <w:caps w:val="false"/>
          <w:smallCaps w:val="false"/>
          <w:color w:val="58595B"/>
          <w:spacing w:val="0"/>
          <w:sz w:val="21"/>
        </w:rPr>
        <w:t>wykłady popularnonaukowe, rozmowy autorskie oraz wydarzenia przygotowywane we współpracy z lokalną społecznością</w:t>
      </w: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>:</w:t>
      </w:r>
      <w:r>
        <w:rPr>
          <w:rFonts w:ascii="Verdana;Arial;Helvetica;sans-serif" w:hAnsi="Verdana;Arial;Helvetica;sans-serif"/>
          <w:b w:val="false"/>
          <w:i w:val="false"/>
          <w:caps w:val="false"/>
          <w:smallCaps w:val="false"/>
          <w:color w:val="58595B"/>
          <w:spacing w:val="0"/>
          <w:sz w:val="21"/>
        </w:rPr>
        <w:br/>
        <w:t> </w:t>
      </w:r>
    </w:p>
    <w:p>
      <w:pPr>
        <w:pStyle w:val="BodyText"/>
        <w:widowControl/>
        <w:numPr>
          <w:ilvl w:val="0"/>
          <w:numId w:val="1"/>
        </w:numPr>
        <w:pBdr/>
        <w:tabs>
          <w:tab w:val="clear" w:pos="709"/>
          <w:tab w:val="left" w:pos="709" w:leader="none"/>
        </w:tabs>
        <w:bidi w:val="0"/>
        <w:spacing w:before="0" w:after="150"/>
        <w:ind w:hanging="283" w:start="709" w:end="0"/>
        <w:jc w:val="start"/>
        <w:rPr/>
      </w:pPr>
      <w:r>
        <w:rPr>
          <w:rStyle w:val="Strong"/>
          <w:rFonts w:ascii="verdana" w:hAnsi="verdana"/>
          <w:b/>
          <w:i w:val="false"/>
          <w:caps w:val="false"/>
          <w:smallCaps w:val="false"/>
          <w:color w:val="58595B"/>
          <w:spacing w:val="0"/>
          <w:sz w:val="21"/>
        </w:rPr>
        <w:t>Wątek Świętosławy</w:t>
      </w: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 xml:space="preserve"> otworzy opowieść o średniowiecznych kobietach w rodach panujących. Historie </w:t>
      </w:r>
      <w:r>
        <w:rPr>
          <w:rStyle w:val="Strong"/>
          <w:rFonts w:ascii="verdana" w:hAnsi="verdana"/>
          <w:b/>
          <w:i w:val="false"/>
          <w:caps w:val="false"/>
          <w:smallCaps w:val="false"/>
          <w:color w:val="58595B"/>
          <w:spacing w:val="0"/>
          <w:sz w:val="21"/>
        </w:rPr>
        <w:t>Rychezy i Gertrudy</w:t>
      </w: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 xml:space="preserve"> pozwolą przyjrzeć się ich ambicjom, pozycji i wpływowi na politykę.</w:t>
      </w:r>
    </w:p>
    <w:p>
      <w:pPr>
        <w:pStyle w:val="BodyText"/>
        <w:widowControl/>
        <w:numPr>
          <w:ilvl w:val="0"/>
          <w:numId w:val="1"/>
        </w:numPr>
        <w:pBdr/>
        <w:tabs>
          <w:tab w:val="clear" w:pos="709"/>
          <w:tab w:val="left" w:pos="709" w:leader="none"/>
        </w:tabs>
        <w:bidi w:val="0"/>
        <w:spacing w:before="0" w:after="150"/>
        <w:ind w:hanging="283" w:start="709" w:end="0"/>
        <w:jc w:val="start"/>
        <w:rPr/>
      </w:pPr>
      <w:r>
        <w:rPr>
          <w:rStyle w:val="Strong"/>
          <w:rFonts w:ascii="verdana" w:hAnsi="verdana"/>
          <w:b/>
          <w:i w:val="false"/>
          <w:caps w:val="false"/>
          <w:smallCaps w:val="false"/>
          <w:color w:val="58595B"/>
          <w:spacing w:val="0"/>
          <w:sz w:val="21"/>
        </w:rPr>
        <w:t>Błogosławiona Jolenta</w:t>
      </w: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 xml:space="preserve"> - życie dworskie i klasztorne, działalność fundacyjna oraz religijność średniowiecznej Wielkopolski.</w:t>
      </w:r>
    </w:p>
    <w:p>
      <w:pPr>
        <w:pStyle w:val="BodyText"/>
        <w:widowControl/>
        <w:numPr>
          <w:ilvl w:val="0"/>
          <w:numId w:val="1"/>
        </w:numPr>
        <w:pBdr/>
        <w:tabs>
          <w:tab w:val="clear" w:pos="709"/>
          <w:tab w:val="left" w:pos="709" w:leader="none"/>
        </w:tabs>
        <w:bidi w:val="0"/>
        <w:spacing w:before="0" w:after="150"/>
        <w:ind w:hanging="283" w:start="709" w:end="0"/>
        <w:jc w:val="start"/>
        <w:rPr/>
      </w:pPr>
      <w:r>
        <w:rPr>
          <w:rStyle w:val="Strong"/>
          <w:rFonts w:ascii="verdana" w:hAnsi="verdana"/>
          <w:b/>
          <w:i w:val="false"/>
          <w:caps w:val="false"/>
          <w:smallCaps w:val="false"/>
          <w:color w:val="58595B"/>
          <w:spacing w:val="0"/>
          <w:sz w:val="21"/>
        </w:rPr>
        <w:t>Zielarki z Gorzuchowa</w:t>
      </w: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 xml:space="preserve"> - proces o czary z 1761 roku, losy oskarżonych kobiet i pamięć o nich w lokalnej społeczności.</w:t>
      </w:r>
    </w:p>
    <w:p>
      <w:pPr>
        <w:pStyle w:val="BodyText"/>
        <w:widowControl/>
        <w:numPr>
          <w:ilvl w:val="0"/>
          <w:numId w:val="1"/>
        </w:numPr>
        <w:pBdr/>
        <w:tabs>
          <w:tab w:val="clear" w:pos="709"/>
          <w:tab w:val="left" w:pos="709" w:leader="none"/>
        </w:tabs>
        <w:bidi w:val="0"/>
        <w:spacing w:before="0" w:after="150"/>
        <w:ind w:hanging="283" w:start="709" w:end="0"/>
        <w:jc w:val="start"/>
        <w:rPr/>
      </w:pPr>
      <w:r>
        <w:rPr>
          <w:rStyle w:val="Strong"/>
          <w:rFonts w:ascii="verdana" w:hAnsi="verdana"/>
          <w:b/>
          <w:i w:val="false"/>
          <w:caps w:val="false"/>
          <w:smallCaps w:val="false"/>
          <w:color w:val="58595B"/>
          <w:spacing w:val="0"/>
          <w:sz w:val="21"/>
        </w:rPr>
        <w:t>Emilia Sczaniecka</w:t>
      </w: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 xml:space="preserve"> - patriotyzm, pomoc potrzebującym i działalność społeczna w XIX wieku.</w:t>
      </w:r>
    </w:p>
    <w:p>
      <w:pPr>
        <w:pStyle w:val="BodyText"/>
        <w:widowControl/>
        <w:numPr>
          <w:ilvl w:val="0"/>
          <w:numId w:val="1"/>
        </w:numPr>
        <w:pBdr/>
        <w:tabs>
          <w:tab w:val="clear" w:pos="709"/>
          <w:tab w:val="left" w:pos="709" w:leader="none"/>
        </w:tabs>
        <w:bidi w:val="0"/>
        <w:spacing w:before="0" w:after="150"/>
        <w:ind w:hanging="283" w:start="709" w:end="0"/>
        <w:jc w:val="start"/>
        <w:rPr/>
      </w:pPr>
      <w:r>
        <w:rPr>
          <w:rStyle w:val="Strong"/>
          <w:rFonts w:ascii="verdana" w:hAnsi="verdana"/>
          <w:b/>
          <w:i w:val="false"/>
          <w:caps w:val="false"/>
          <w:smallCaps w:val="false"/>
          <w:color w:val="58595B"/>
          <w:spacing w:val="0"/>
          <w:sz w:val="21"/>
        </w:rPr>
        <w:t>Helena Modrzejewska</w:t>
      </w: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 xml:space="preserve"> - teatr, emigracja i rozwój kariery artystycznej po obu stronach Atlantyku.</w:t>
      </w:r>
    </w:p>
    <w:p>
      <w:pPr>
        <w:pStyle w:val="BodyText"/>
        <w:widowControl/>
        <w:numPr>
          <w:ilvl w:val="0"/>
          <w:numId w:val="1"/>
        </w:numPr>
        <w:pBdr/>
        <w:tabs>
          <w:tab w:val="clear" w:pos="709"/>
          <w:tab w:val="left" w:pos="709" w:leader="none"/>
        </w:tabs>
        <w:bidi w:val="0"/>
        <w:spacing w:before="0" w:after="150"/>
        <w:ind w:hanging="283" w:start="709" w:end="0"/>
        <w:jc w:val="start"/>
        <w:rPr/>
      </w:pPr>
      <w:r>
        <w:rPr>
          <w:rStyle w:val="Strong"/>
          <w:rFonts w:ascii="verdana" w:hAnsi="verdana"/>
          <w:b/>
          <w:i w:val="false"/>
          <w:caps w:val="false"/>
          <w:smallCaps w:val="false"/>
          <w:color w:val="58595B"/>
          <w:spacing w:val="0"/>
          <w:sz w:val="21"/>
        </w:rPr>
        <w:t>Maria Konopnicka</w:t>
      </w: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 xml:space="preserve"> - twórczość, niezależność i wybory osobiste w biografii pisarki.</w:t>
      </w:r>
    </w:p>
    <w:p>
      <w:pPr>
        <w:pStyle w:val="BodyText"/>
        <w:widowControl/>
        <w:numPr>
          <w:ilvl w:val="0"/>
          <w:numId w:val="1"/>
        </w:numPr>
        <w:pBdr/>
        <w:tabs>
          <w:tab w:val="clear" w:pos="709"/>
          <w:tab w:val="left" w:pos="709" w:leader="none"/>
        </w:tabs>
        <w:bidi w:val="0"/>
        <w:spacing w:before="0" w:after="150"/>
        <w:ind w:hanging="283" w:start="709" w:end="0"/>
        <w:jc w:val="start"/>
        <w:rPr/>
      </w:pPr>
      <w:r>
        <w:rPr>
          <w:rStyle w:val="Strong"/>
          <w:rFonts w:ascii="verdana" w:hAnsi="verdana"/>
          <w:b/>
          <w:i w:val="false"/>
          <w:caps w:val="false"/>
          <w:smallCaps w:val="false"/>
          <w:color w:val="58595B"/>
          <w:spacing w:val="0"/>
          <w:sz w:val="21"/>
        </w:rPr>
        <w:t>Jadwiga z Działyńskich Zamoyska</w:t>
      </w: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 xml:space="preserve"> - edukacja kobiet, znaczenie pracy i wychowanie do samodzielności.</w:t>
      </w:r>
    </w:p>
    <w:p>
      <w:pPr>
        <w:pStyle w:val="BodyText"/>
        <w:widowControl/>
        <w:numPr>
          <w:ilvl w:val="0"/>
          <w:numId w:val="1"/>
        </w:numPr>
        <w:pBdr/>
        <w:tabs>
          <w:tab w:val="clear" w:pos="709"/>
          <w:tab w:val="left" w:pos="709" w:leader="none"/>
        </w:tabs>
        <w:bidi w:val="0"/>
        <w:spacing w:before="0" w:after="150"/>
        <w:ind w:hanging="283" w:start="709" w:end="0"/>
        <w:jc w:val="start"/>
        <w:rPr/>
      </w:pPr>
      <w:r>
        <w:rPr>
          <w:rStyle w:val="Strong"/>
          <w:rFonts w:ascii="verdana" w:hAnsi="verdana"/>
          <w:b/>
          <w:i w:val="false"/>
          <w:caps w:val="false"/>
          <w:smallCaps w:val="false"/>
          <w:color w:val="58595B"/>
          <w:spacing w:val="0"/>
          <w:sz w:val="21"/>
        </w:rPr>
        <w:t>Maria Dąbrowska</w:t>
      </w: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 xml:space="preserve"> - związki z Wielkopolską oraz ślady doświadczeń biograficznych w literaturze.</w:t>
      </w:r>
    </w:p>
    <w:p>
      <w:pPr>
        <w:pStyle w:val="BodyText"/>
        <w:widowControl/>
        <w:numPr>
          <w:ilvl w:val="0"/>
          <w:numId w:val="1"/>
        </w:numPr>
        <w:pBdr/>
        <w:tabs>
          <w:tab w:val="clear" w:pos="709"/>
          <w:tab w:val="left" w:pos="709" w:leader="none"/>
        </w:tabs>
        <w:bidi w:val="0"/>
        <w:spacing w:before="0" w:after="150"/>
        <w:ind w:hanging="283" w:start="709" w:end="0"/>
        <w:jc w:val="start"/>
        <w:rPr/>
      </w:pPr>
      <w:r>
        <w:rPr>
          <w:rStyle w:val="Strong"/>
          <w:rFonts w:ascii="verdana" w:hAnsi="verdana"/>
          <w:b/>
          <w:i w:val="false"/>
          <w:caps w:val="false"/>
          <w:smallCaps w:val="false"/>
          <w:color w:val="58595B"/>
          <w:spacing w:val="0"/>
          <w:sz w:val="21"/>
        </w:rPr>
        <w:t>Wanda Błeńska</w:t>
      </w: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 xml:space="preserve"> - praca lekarska w Ugandzie i wieloletnie zaangażowanie w pomoc osobom dotkniętym trądem.</w:t>
      </w:r>
    </w:p>
    <w:p>
      <w:pPr>
        <w:pStyle w:val="BodyText"/>
        <w:widowControl/>
        <w:pBdr/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verdana" w:hAnsi="verdana"/>
          <w:b/>
          <w:i w:val="false"/>
          <w:caps w:val="false"/>
          <w:smallCaps w:val="false"/>
          <w:color w:val="58595B"/>
          <w:spacing w:val="0"/>
          <w:sz w:val="21"/>
        </w:rPr>
        <w:t>Wielkopolska</w:t>
      </w: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 xml:space="preserve"> będzie punktem wyjścia do opowieści prowadzących ku innym regionom Polski, Europie i poza jej granice. Losy bohaterek pozwolą zobaczyć, jak osobiste doświadczenia splatały się z wydarzeniami historycznymi - od polityki dynastycznej po przemiany w edukacji, literaturze, teatrze i medycynie.</w:t>
      </w:r>
    </w:p>
    <w:p>
      <w:pPr>
        <w:pStyle w:val="Heading4"/>
        <w:widowControl/>
        <w:pBdr/>
        <w:bidi w:val="0"/>
        <w:spacing w:lineRule="auto" w:line="264" w:before="150" w:after="150"/>
        <w:ind w:hanging="0" w:start="0" w:end="0"/>
        <w:jc w:val="start"/>
        <w:rPr>
          <w:rFonts w:ascii="verdana" w:hAnsi="verdana"/>
          <w:b/>
          <w:i w:val="false"/>
          <w:caps/>
          <w:color w:val="58595B"/>
          <w:spacing w:val="0"/>
          <w:sz w:val="21"/>
        </w:rPr>
      </w:pPr>
      <w:r>
        <w:rPr>
          <w:rFonts w:ascii="verdana" w:hAnsi="verdana"/>
          <w:b/>
          <w:i w:val="false"/>
          <w:caps/>
          <w:color w:val="58595B"/>
          <w:spacing w:val="0"/>
          <w:sz w:val="21"/>
        </w:rPr>
        <w:t>Przyjdź, posłuchaj, porozmawiaj</w:t>
      </w:r>
    </w:p>
    <w:p>
      <w:pPr>
        <w:pStyle w:val="BodyText"/>
        <w:widowControl/>
        <w:pBdr/>
        <w:bidi w:val="0"/>
        <w:spacing w:before="0" w:after="0"/>
        <w:ind w:hanging="0" w:start="0" w:end="0"/>
        <w:jc w:val="start"/>
        <w:rPr/>
      </w:pP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 xml:space="preserve">Każde spotkanie będzie samodzielną opowieścią, rozwijającą wybrany wątek wystawy. </w:t>
      </w:r>
      <w:r>
        <w:rPr>
          <w:rStyle w:val="Strong"/>
          <w:rFonts w:ascii="verdana" w:hAnsi="verdana"/>
          <w:b/>
          <w:i w:val="false"/>
          <w:caps w:val="false"/>
          <w:smallCaps w:val="false"/>
          <w:color w:val="58595B"/>
          <w:spacing w:val="0"/>
          <w:sz w:val="21"/>
        </w:rPr>
        <w:t>Można uczestniczyć w całym cyklu lub wybrać temat najbliższy własnym zainteresowaniom.</w:t>
      </w: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 xml:space="preserve"> Po wykładach i rozmowach będzie czas na pytania publiczności i dyskusję.</w:t>
      </w:r>
    </w:p>
    <w:p>
      <w:pPr>
        <w:pStyle w:val="BodyText"/>
        <w:widowControl/>
        <w:pBdr/>
        <w:bidi w:val="0"/>
        <w:spacing w:before="0" w:after="0"/>
        <w:ind w:hanging="0" w:start="0" w:end="0"/>
        <w:jc w:val="start"/>
        <w:rPr>
          <w:rFonts w:ascii="Verdana;Arial;Helvetica;sans-serif" w:hAnsi="Verdana;Arial;Helvetica;sans-serif"/>
          <w:b w:val="false"/>
          <w:i w:val="false"/>
          <w:caps w:val="false"/>
          <w:smallCaps w:val="false"/>
          <w:color w:val="58595B"/>
          <w:spacing w:val="0"/>
          <w:sz w:val="21"/>
        </w:rPr>
      </w:pPr>
      <w:r>
        <w:rPr>
          <w:rFonts w:ascii="Verdana;Arial;Helvetica;sans-serif" w:hAnsi="Verdana;Arial;Helvetica;sans-serif"/>
          <w:b w:val="false"/>
          <w:i w:val="false"/>
          <w:caps w:val="false"/>
          <w:smallCaps w:val="false"/>
          <w:color w:val="58595B"/>
          <w:spacing w:val="0"/>
          <w:sz w:val="21"/>
        </w:rPr>
        <w:br/>
      </w:r>
      <w:r>
        <w:rPr>
          <w:rFonts w:ascii="verdana" w:hAnsi="verdana"/>
          <w:b w:val="false"/>
          <w:i w:val="false"/>
          <w:caps w:val="false"/>
          <w:smallCaps w:val="false"/>
          <w:color w:val="58595B"/>
          <w:spacing w:val="0"/>
          <w:sz w:val="21"/>
        </w:rPr>
        <w:t>Zapraszamy do poznawania historii kobiet, których działalność wykraczała poza role wyznaczane im przez epokę, oraz tych, których głosy znamy jedynie z fragmentarycznych przekazów. Wspólnie przyjrzymy się temu, co wiemy o ich życiu, jak o nim opowiadamy i jakie pytania warto dziś postawić.</w:t>
      </w:r>
    </w:p>
    <w:p>
      <w:pPr>
        <w:pStyle w:val="BodyText"/>
        <w:widowControl/>
        <w:pBdr/>
        <w:bidi w:val="0"/>
        <w:spacing w:before="0" w:after="0"/>
        <w:ind w:hanging="0" w:start="0" w:end="0"/>
        <w:jc w:val="start"/>
        <w:rPr/>
      </w:pPr>
      <w:r>
        <w:rPr>
          <w:rFonts w:ascii="Verdana;Arial;Helvetica;sans-serif" w:hAnsi="Verdana;Arial;Helvetica;sans-serif"/>
          <w:b w:val="false"/>
          <w:i w:val="false"/>
          <w:caps w:val="false"/>
          <w:smallCaps w:val="false"/>
          <w:color w:val="58595B"/>
          <w:spacing w:val="0"/>
          <w:sz w:val="21"/>
        </w:rPr>
        <w:br/>
      </w:r>
      <w:r>
        <w:rPr>
          <w:rStyle w:val="Strong"/>
          <w:rFonts w:ascii="verdana" w:hAnsi="verdana"/>
          <w:b/>
          <w:i w:val="false"/>
          <w:caps w:val="false"/>
          <w:smallCaps w:val="false"/>
          <w:color w:val="58595B"/>
          <w:spacing w:val="0"/>
          <w:sz w:val="21"/>
        </w:rPr>
        <w:t>Zapraszamy 25 października o godz. 13:00 do sali Albina Węsierskiego w Muzeum Pierwszych Piastów na Lednicy!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 w:characterSet="windows-1250"/>
    <w:family w:val="swiss"/>
    <w:pitch w:val="variable"/>
  </w:font>
  <w:font w:name="Georgia">
    <w:altName w:val="Times New Roman"/>
    <w:charset w:val="ee" w:characterSet="windows-1250"/>
    <w:family w:val="auto"/>
    <w:pitch w:val="default"/>
  </w:font>
  <w:font w:name="Verdana">
    <w:altName w:val="sans-serif"/>
    <w:charset w:val="ee" w:characterSet="windows-1250"/>
    <w:family w:val="auto"/>
    <w:pitch w:val="default"/>
  </w:font>
  <w:font w:name="verdana">
    <w:charset w:val="ee" w:characterSet="windows-1250"/>
    <w:family w:val="auto"/>
    <w:pitch w:val="default"/>
  </w:font>
  <w:font w:name="Verdana">
    <w:altName w:val="Arial"/>
    <w:charset w:val="ee" w:characterSet="windows-1250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Heading2">
    <w:name w:val="heading 2"/>
    <w:basedOn w:val="Nagwek"/>
    <w:next w:val="BodyText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4">
    <w:name w:val="heading 4"/>
    <w:basedOn w:val="Nagwek"/>
    <w:next w:val="BodyText"/>
    <w:qFormat/>
    <w:pPr>
      <w:spacing w:before="120" w:after="120"/>
      <w:outlineLvl w:val="3"/>
    </w:pPr>
    <w:rPr>
      <w:rFonts w:ascii="Liberation Serif" w:hAnsi="Liberation Serif" w:eastAsia="NSimSun" w:cs="Lucida Sans"/>
      <w:b/>
      <w:bCs/>
      <w:sz w:val="24"/>
      <w:szCs w:val="24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hyperlink" Target="https://lednicamuzeum.pl/wiadomosc,2708-3004-wystawa-czasowa-w-muzeum.html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LibreOffice/26.2.1.2$Windows_X86_64 LibreOffice_project/620$Build-2</Application>
  <AppVersion>15.0000</AppVersion>
  <Pages>3</Pages>
  <Words>629</Words>
  <Characters>4149</Characters>
  <CharactersWithSpaces>4753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2026-10-14T10:39:16Z</dcterms:created>
  <dc:creator/>
  <dc:description/>
  <dc:language>pl-PL</dc:language>
  <cp:lastModifiedBy/>
  <dcterms:modified xsi:type="dcterms:W3CDTF">2026-10-14T10:40:46Z</dcterms:modified>
  <cp:revision>1</cp:revision>
  <dc:subject/>
  <dc:title/>
</cp:coreProperties>
</file>